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06" w:rsidRDefault="00877806" w:rsidP="004715B2">
      <w:pPr>
        <w:rPr>
          <w:u w:val="single"/>
        </w:rPr>
      </w:pPr>
    </w:p>
    <w:p w:rsidR="004715B2" w:rsidRDefault="004715B2" w:rsidP="004715B2">
      <w:r>
        <w:rPr>
          <w:u w:val="single"/>
        </w:rPr>
        <w:t>Summary</w:t>
      </w:r>
      <w:r>
        <w:rPr>
          <w:u w:val="single"/>
        </w:rPr>
        <w:br/>
      </w:r>
      <w:r>
        <w:t xml:space="preserve">ECOG-ACRIN Cancer Research Group’s Marketing/Clinical Education and Awareness staff will use approved language/images to help increase awareness of </w:t>
      </w:r>
      <w:r w:rsidR="00652EC7">
        <w:t>EA9171</w:t>
      </w:r>
      <w:r>
        <w:t xml:space="preserve"> and support accrual efforts. The content below may be shared to the ECOG-ACRIN website, affiliated blogs, and social media channels. Links to these channels are included below. Staff at participating ECOG-ACRIN sites may also use this content on their own institutions’ marketing/communications channels.</w:t>
      </w:r>
    </w:p>
    <w:p w:rsidR="004715B2" w:rsidRPr="00F416DE" w:rsidRDefault="004715B2" w:rsidP="004715B2">
      <w:pPr>
        <w:rPr>
          <w:u w:val="single"/>
        </w:rPr>
      </w:pPr>
      <w:r w:rsidRPr="00F416DE">
        <w:rPr>
          <w:u w:val="single"/>
        </w:rPr>
        <w:t>ECOG-ACRIN Website</w:t>
      </w:r>
      <w:r>
        <w:rPr>
          <w:u w:val="single"/>
        </w:rPr>
        <w:br/>
      </w:r>
      <w:hyperlink r:id="rId8" w:history="1">
        <w:r w:rsidRPr="004165C7">
          <w:rPr>
            <w:rStyle w:val="Hyperlink"/>
          </w:rPr>
          <w:t>https://www.ecog-acrin.org</w:t>
        </w:r>
      </w:hyperlink>
      <w:r>
        <w:rPr>
          <w:u w:val="single"/>
        </w:rPr>
        <w:t xml:space="preserve"> </w:t>
      </w:r>
    </w:p>
    <w:p w:rsidR="004715B2" w:rsidRPr="00F416DE" w:rsidRDefault="004715B2" w:rsidP="004715B2">
      <w:r w:rsidRPr="00F416DE">
        <w:rPr>
          <w:u w:val="single"/>
        </w:rPr>
        <w:t>ECOG-ACRIN Blogs</w:t>
      </w:r>
      <w:r>
        <w:rPr>
          <w:u w:val="single"/>
        </w:rPr>
        <w:br/>
      </w:r>
      <w:hyperlink r:id="rId9" w:history="1">
        <w:r w:rsidRPr="004165C7">
          <w:rPr>
            <w:rStyle w:val="Hyperlink"/>
          </w:rPr>
          <w:t>https://blog-ecog-acrin.org</w:t>
        </w:r>
      </w:hyperlink>
      <w:r>
        <w:br/>
      </w:r>
      <w:hyperlink r:id="rId10" w:history="1">
        <w:r w:rsidRPr="004165C7">
          <w:rPr>
            <w:rStyle w:val="Hyperlink"/>
          </w:rPr>
          <w:t>https://advocacy-ecog-acrin.org</w:t>
        </w:r>
      </w:hyperlink>
      <w:r>
        <w:t xml:space="preserve"> </w:t>
      </w:r>
    </w:p>
    <w:p w:rsidR="004715B2" w:rsidRDefault="004715B2" w:rsidP="004715B2">
      <w:r>
        <w:rPr>
          <w:u w:val="single"/>
        </w:rPr>
        <w:t>Social Media Channels</w:t>
      </w:r>
      <w:r>
        <w:rPr>
          <w:u w:val="single"/>
        </w:rPr>
        <w:br/>
      </w:r>
      <w:r>
        <w:t xml:space="preserve">Twitter: </w:t>
      </w:r>
      <w:hyperlink r:id="rId11" w:history="1">
        <w:r>
          <w:rPr>
            <w:rStyle w:val="Hyperlink"/>
          </w:rPr>
          <w:t>https://twitter.com/eaonc</w:t>
        </w:r>
      </w:hyperlink>
      <w:r>
        <w:rPr>
          <w:u w:val="single"/>
        </w:rPr>
        <w:br/>
      </w:r>
      <w:r>
        <w:t xml:space="preserve">Facebook: </w:t>
      </w:r>
      <w:hyperlink r:id="rId12" w:history="1">
        <w:r>
          <w:rPr>
            <w:rStyle w:val="Hyperlink"/>
          </w:rPr>
          <w:t>https://www.facebook.com/eaonc/</w:t>
        </w:r>
      </w:hyperlink>
      <w:r>
        <w:t xml:space="preserve"> </w:t>
      </w:r>
      <w:r>
        <w:rPr>
          <w:u w:val="single"/>
        </w:rPr>
        <w:br/>
      </w:r>
      <w:r>
        <w:t xml:space="preserve">LinkedIn: </w:t>
      </w:r>
      <w:hyperlink r:id="rId13" w:history="1">
        <w:r>
          <w:rPr>
            <w:rStyle w:val="Hyperlink"/>
          </w:rPr>
          <w:t>https://www.linkedin.com/company/ecog-acrin-cancer-research-group/</w:t>
        </w:r>
      </w:hyperlink>
      <w:r>
        <w:br/>
        <w:t>YouTube (</w:t>
      </w:r>
      <w:r w:rsidRPr="00C74DA3">
        <w:rPr>
          <w:i/>
        </w:rPr>
        <w:t>video only</w:t>
      </w:r>
      <w:r>
        <w:t xml:space="preserve">): </w:t>
      </w:r>
      <w:hyperlink r:id="rId14" w:history="1">
        <w:r>
          <w:rPr>
            <w:rStyle w:val="Hyperlink"/>
          </w:rPr>
          <w:t>https://www.youtube.com/channel/UCAC_V1QdqlH2KdHOt7K2IHw</w:t>
        </w:r>
      </w:hyperlink>
    </w:p>
    <w:p w:rsidR="004715B2" w:rsidRDefault="004715B2" w:rsidP="004715B2">
      <w:r>
        <w:rPr>
          <w:u w:val="single"/>
        </w:rPr>
        <w:t>Target Audience(s)</w:t>
      </w:r>
      <w:r>
        <w:rPr>
          <w:u w:val="single"/>
        </w:rPr>
        <w:br/>
      </w:r>
      <w:r>
        <w:t xml:space="preserve">The </w:t>
      </w:r>
      <w:r w:rsidR="00652EC7">
        <w:t>leukemia/blood</w:t>
      </w:r>
      <w:r>
        <w:t xml:space="preserve"> cancer community, including:</w:t>
      </w:r>
    </w:p>
    <w:p w:rsidR="004715B2" w:rsidRDefault="004715B2" w:rsidP="004715B2">
      <w:pPr>
        <w:pStyle w:val="ListParagraph"/>
        <w:numPr>
          <w:ilvl w:val="0"/>
          <w:numId w:val="1"/>
        </w:numPr>
      </w:pPr>
      <w:r>
        <w:t>Patients and survivors</w:t>
      </w:r>
    </w:p>
    <w:p w:rsidR="004715B2" w:rsidRDefault="004715B2" w:rsidP="004715B2">
      <w:pPr>
        <w:pStyle w:val="ListParagraph"/>
        <w:numPr>
          <w:ilvl w:val="0"/>
          <w:numId w:val="1"/>
        </w:numPr>
      </w:pPr>
      <w:r>
        <w:t>Caregivers</w:t>
      </w:r>
    </w:p>
    <w:p w:rsidR="004715B2" w:rsidRDefault="004715B2" w:rsidP="004715B2">
      <w:pPr>
        <w:pStyle w:val="ListParagraph"/>
        <w:numPr>
          <w:ilvl w:val="0"/>
          <w:numId w:val="1"/>
        </w:numPr>
      </w:pPr>
      <w:r>
        <w:t>Advocates</w:t>
      </w:r>
    </w:p>
    <w:p w:rsidR="004715B2" w:rsidRDefault="004715B2" w:rsidP="004715B2">
      <w:pPr>
        <w:pStyle w:val="ListParagraph"/>
        <w:numPr>
          <w:ilvl w:val="0"/>
          <w:numId w:val="1"/>
        </w:numPr>
      </w:pPr>
      <w:r>
        <w:t xml:space="preserve">Research, education, and advocacy organizations </w:t>
      </w:r>
    </w:p>
    <w:p w:rsidR="004715B2" w:rsidRDefault="004715B2" w:rsidP="004715B2">
      <w:r>
        <w:rPr>
          <w:u w:val="single"/>
        </w:rPr>
        <w:t>Privacy/Confidentiality Considerations</w:t>
      </w:r>
      <w:r>
        <w:rPr>
          <w:u w:val="single"/>
        </w:rPr>
        <w:br/>
      </w:r>
      <w:r>
        <w:t>ECOG-ACRIN will make every possible effort to protect privacy and confidentiality by:</w:t>
      </w:r>
    </w:p>
    <w:p w:rsidR="004715B2" w:rsidRDefault="004715B2" w:rsidP="004715B2">
      <w:pPr>
        <w:pStyle w:val="ListParagraph"/>
        <w:numPr>
          <w:ilvl w:val="0"/>
          <w:numId w:val="2"/>
        </w:numPr>
      </w:pPr>
      <w:r>
        <w:t>Keeping social media post content general in nature and avoiding any specifics related to the trial or patients on the trial</w:t>
      </w:r>
    </w:p>
    <w:p w:rsidR="004715B2" w:rsidRDefault="004715B2" w:rsidP="004715B2">
      <w:pPr>
        <w:pStyle w:val="ListParagraph"/>
        <w:numPr>
          <w:ilvl w:val="0"/>
          <w:numId w:val="2"/>
        </w:numPr>
      </w:pPr>
      <w:r>
        <w:t>Refraining from direct engagement with individuals about their eligibility for trials</w:t>
      </w:r>
    </w:p>
    <w:p w:rsidR="004715B2" w:rsidRDefault="004715B2" w:rsidP="004715B2">
      <w:pPr>
        <w:pStyle w:val="ListParagraph"/>
        <w:numPr>
          <w:ilvl w:val="1"/>
          <w:numId w:val="2"/>
        </w:numPr>
      </w:pPr>
      <w:r>
        <w:t>Instead, individuals will be directed to consult with their physician and/or the NCI’s Cancer Information Service</w:t>
      </w:r>
    </w:p>
    <w:p w:rsidR="004715B2" w:rsidRDefault="004715B2" w:rsidP="004715B2">
      <w:pPr>
        <w:pStyle w:val="ListParagraph"/>
        <w:numPr>
          <w:ilvl w:val="0"/>
          <w:numId w:val="2"/>
        </w:numPr>
      </w:pPr>
      <w:r>
        <w:t>Monitoring posts daily for inappropriate responses/interactions and flagging or removing as needed</w:t>
      </w:r>
    </w:p>
    <w:p w:rsidR="004715B2" w:rsidRDefault="004715B2" w:rsidP="004715B2">
      <w:r w:rsidRPr="004715B2">
        <w:rPr>
          <w:u w:val="single"/>
        </w:rPr>
        <w:t>General/Website Messaging</w:t>
      </w:r>
    </w:p>
    <w:p w:rsidR="004715B2" w:rsidRPr="005B5CE3" w:rsidRDefault="004715B2" w:rsidP="004715B2">
      <w:pPr>
        <w:rPr>
          <w:b/>
        </w:rPr>
      </w:pPr>
      <w:r>
        <w:rPr>
          <w:b/>
        </w:rPr>
        <w:t>EA</w:t>
      </w:r>
      <w:r w:rsidR="00652EC7">
        <w:rPr>
          <w:b/>
        </w:rPr>
        <w:t>9171/BLAST MRD CML 1</w:t>
      </w:r>
      <w:r w:rsidRPr="005B5CE3">
        <w:rPr>
          <w:b/>
        </w:rPr>
        <w:t xml:space="preserve"> Study</w:t>
      </w:r>
    </w:p>
    <w:p w:rsidR="00652EC7" w:rsidRDefault="00652EC7" w:rsidP="00652EC7">
      <w:pPr>
        <w:spacing w:after="0"/>
        <w:rPr>
          <w:i/>
        </w:rPr>
      </w:pPr>
      <w:r w:rsidRPr="00652EC7">
        <w:rPr>
          <w:i/>
        </w:rPr>
        <w:t>Testing Pembrolizum</w:t>
      </w:r>
      <w:r>
        <w:rPr>
          <w:i/>
        </w:rPr>
        <w:t xml:space="preserve">ab with Existing Cancer Therapy </w:t>
      </w:r>
      <w:r w:rsidRPr="00652EC7">
        <w:rPr>
          <w:i/>
        </w:rPr>
        <w:t xml:space="preserve">in Patients with Evidence of Residual </w:t>
      </w:r>
      <w:r>
        <w:rPr>
          <w:i/>
        </w:rPr>
        <w:t>Chronic Myelogenous Leukemia (</w:t>
      </w:r>
      <w:r w:rsidRPr="00652EC7">
        <w:rPr>
          <w:i/>
        </w:rPr>
        <w:t>CML</w:t>
      </w:r>
      <w:r>
        <w:rPr>
          <w:i/>
        </w:rPr>
        <w:t>)</w:t>
      </w:r>
    </w:p>
    <w:p w:rsidR="00652EC7" w:rsidRDefault="00652EC7" w:rsidP="00652EC7">
      <w:pPr>
        <w:spacing w:after="0"/>
        <w:rPr>
          <w:b/>
        </w:rPr>
      </w:pPr>
    </w:p>
    <w:p w:rsidR="00877806" w:rsidRDefault="00877806" w:rsidP="00652EC7">
      <w:pPr>
        <w:spacing w:after="0"/>
        <w:rPr>
          <w:b/>
        </w:rPr>
      </w:pPr>
    </w:p>
    <w:p w:rsidR="004715B2" w:rsidRDefault="004715B2" w:rsidP="00652EC7">
      <w:pPr>
        <w:spacing w:after="0"/>
      </w:pPr>
      <w:r w:rsidRPr="004715B2">
        <w:rPr>
          <w:b/>
        </w:rPr>
        <w:lastRenderedPageBreak/>
        <w:t>Why consider participating in this study?</w:t>
      </w:r>
    </w:p>
    <w:p w:rsidR="003B08F1" w:rsidRDefault="003B08F1" w:rsidP="00877806">
      <w:pPr>
        <w:pStyle w:val="ListParagraph"/>
        <w:numPr>
          <w:ilvl w:val="0"/>
          <w:numId w:val="10"/>
        </w:numPr>
        <w:spacing w:before="120" w:after="0" w:line="257" w:lineRule="auto"/>
      </w:pPr>
      <w:r>
        <w:t>Research studies are an important way to test the effectiveness of new drugs for treating CML.</w:t>
      </w:r>
    </w:p>
    <w:p w:rsidR="003B08F1" w:rsidRDefault="003B08F1" w:rsidP="003B08F1">
      <w:pPr>
        <w:pStyle w:val="ListParagraph"/>
        <w:numPr>
          <w:ilvl w:val="0"/>
          <w:numId w:val="10"/>
        </w:numPr>
        <w:spacing w:after="0"/>
      </w:pPr>
      <w:r>
        <w:t>All study participants will receive the usual treatment for this cancer, which is continuous therapy with tyrosine kinase inhibitors (TKIs) (i.e., imatinib [Gleevec], dasatinib [Sprycel], bosutinib [Bosulif], or nilotinib [Tasigna]). In addition, all participants will also receive the study drug, pembrolizumab (Keytruda), by vein (intravenously).</w:t>
      </w:r>
    </w:p>
    <w:p w:rsidR="003B08F1" w:rsidRDefault="003B08F1" w:rsidP="003B08F1">
      <w:pPr>
        <w:pStyle w:val="ListParagraph"/>
        <w:numPr>
          <w:ilvl w:val="0"/>
          <w:numId w:val="10"/>
        </w:numPr>
        <w:spacing w:after="0"/>
      </w:pPr>
      <w:r>
        <w:t>The purpose of the EA9171/BLAST MRD CML 1 study is to determine the effects of adding pembrolizumab to the usual treatment.</w:t>
      </w:r>
    </w:p>
    <w:p w:rsidR="003B08F1" w:rsidRPr="003B08F1" w:rsidRDefault="003B08F1" w:rsidP="003B08F1">
      <w:pPr>
        <w:pStyle w:val="ListParagraph"/>
        <w:numPr>
          <w:ilvl w:val="1"/>
          <w:numId w:val="10"/>
        </w:numPr>
        <w:spacing w:after="0"/>
      </w:pPr>
      <w:r>
        <w:t>Researchers hope to learn if pembrolizumab will shrink the cancer/prevent it from returning.</w:t>
      </w:r>
    </w:p>
    <w:p w:rsidR="004715B2" w:rsidRDefault="004715B2" w:rsidP="004715B2">
      <w:pPr>
        <w:pStyle w:val="BodyText"/>
        <w:rPr>
          <w:sz w:val="16"/>
          <w:u w:val="single"/>
        </w:rPr>
      </w:pPr>
    </w:p>
    <w:p w:rsidR="004715B2" w:rsidRPr="004715B2" w:rsidRDefault="004715B2" w:rsidP="004715B2">
      <w:pPr>
        <w:spacing w:after="0"/>
        <w:rPr>
          <w:b/>
        </w:rPr>
      </w:pPr>
      <w:r>
        <w:rPr>
          <w:b/>
        </w:rPr>
        <w:t>What</w:t>
      </w:r>
      <w:r w:rsidRPr="004715B2">
        <w:rPr>
          <w:b/>
        </w:rPr>
        <w:t xml:space="preserve"> does this study involve?</w:t>
      </w:r>
    </w:p>
    <w:p w:rsidR="003B08F1" w:rsidRPr="003B08F1" w:rsidRDefault="003B08F1" w:rsidP="003B08F1">
      <w:pPr>
        <w:pStyle w:val="BodyText"/>
        <w:numPr>
          <w:ilvl w:val="0"/>
          <w:numId w:val="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B08F1">
        <w:rPr>
          <w:rFonts w:asciiTheme="minorHAnsi" w:hAnsiTheme="minorHAnsi" w:cstheme="minorHAnsi"/>
          <w:sz w:val="22"/>
          <w:szCs w:val="22"/>
        </w:rPr>
        <w:t>All study participants who decide to enroll in this study will be on Arm A and will receive pembrolizumab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8F1">
        <w:rPr>
          <w:rFonts w:asciiTheme="minorHAnsi" w:hAnsiTheme="minorHAnsi" w:cstheme="minorHAnsi"/>
          <w:sz w:val="22"/>
          <w:szCs w:val="22"/>
        </w:rPr>
        <w:t>by vein once every 3 weeks for 18 doses (total duration of 54 weeks). During this time, you will continue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8F1">
        <w:rPr>
          <w:rFonts w:asciiTheme="minorHAnsi" w:hAnsiTheme="minorHAnsi" w:cstheme="minorHAnsi"/>
          <w:sz w:val="22"/>
          <w:szCs w:val="22"/>
        </w:rPr>
        <w:t>to take the TKI you were on prior to joining the study.</w:t>
      </w:r>
    </w:p>
    <w:p w:rsidR="003B08F1" w:rsidRDefault="003B08F1" w:rsidP="003B08F1">
      <w:pPr>
        <w:pStyle w:val="BodyText"/>
        <w:numPr>
          <w:ilvl w:val="0"/>
          <w:numId w:val="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B08F1">
        <w:rPr>
          <w:rFonts w:asciiTheme="minorHAnsi" w:hAnsiTheme="minorHAnsi" w:cstheme="minorHAnsi"/>
          <w:sz w:val="22"/>
          <w:szCs w:val="22"/>
        </w:rPr>
        <w:t>After completing 54 weeks of treatment, a decision regarding your further treatment strategy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8F1">
        <w:rPr>
          <w:rFonts w:asciiTheme="minorHAnsi" w:hAnsiTheme="minorHAnsi" w:cstheme="minorHAnsi"/>
          <w:sz w:val="22"/>
          <w:szCs w:val="22"/>
        </w:rPr>
        <w:t>made depending on whether a fusion gene product, called bcr-abl, remains detectable in your blood.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8F1">
        <w:rPr>
          <w:rFonts w:asciiTheme="minorHAnsi" w:hAnsiTheme="minorHAnsi" w:cstheme="minorHAnsi"/>
          <w:sz w:val="22"/>
          <w:szCs w:val="22"/>
        </w:rPr>
        <w:t>This is referred to as minimal residual disease (MRD) testing.</w:t>
      </w:r>
    </w:p>
    <w:p w:rsidR="003B08F1" w:rsidRDefault="003B08F1" w:rsidP="003B08F1">
      <w:pPr>
        <w:pStyle w:val="BodyText"/>
        <w:numPr>
          <w:ilvl w:val="1"/>
          <w:numId w:val="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B08F1">
        <w:rPr>
          <w:rFonts w:asciiTheme="minorHAnsi" w:hAnsiTheme="minorHAnsi" w:cstheme="minorHAnsi"/>
          <w:b/>
          <w:sz w:val="22"/>
          <w:szCs w:val="22"/>
        </w:rPr>
        <w:t>If bcr-abl is undetectable (referred to as undetectable MRD, or UMRD)</w:t>
      </w:r>
      <w:r w:rsidRPr="003B08F1">
        <w:rPr>
          <w:rFonts w:asciiTheme="minorHAnsi" w:hAnsiTheme="minorHAnsi" w:cstheme="minorHAnsi"/>
          <w:sz w:val="22"/>
          <w:szCs w:val="22"/>
        </w:rPr>
        <w:t>, you will stop receiving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8F1">
        <w:rPr>
          <w:rFonts w:asciiTheme="minorHAnsi" w:hAnsiTheme="minorHAnsi" w:cstheme="minorHAnsi"/>
          <w:sz w:val="22"/>
          <w:szCs w:val="22"/>
        </w:rPr>
        <w:t>pembrolizumab and will only continue the TKI.</w:t>
      </w:r>
    </w:p>
    <w:p w:rsidR="003B08F1" w:rsidRPr="003B08F1" w:rsidRDefault="003B08F1" w:rsidP="003B08F1">
      <w:pPr>
        <w:pStyle w:val="BodyText"/>
        <w:spacing w:before="120"/>
        <w:ind w:left="1440"/>
        <w:rPr>
          <w:rFonts w:asciiTheme="minorHAnsi" w:hAnsiTheme="minorHAnsi" w:cstheme="minorHAnsi"/>
          <w:sz w:val="22"/>
          <w:szCs w:val="22"/>
        </w:rPr>
      </w:pPr>
      <w:r w:rsidRPr="003B08F1">
        <w:rPr>
          <w:rFonts w:asciiTheme="minorHAnsi" w:hAnsiTheme="minorHAnsi" w:cstheme="minorHAnsi"/>
          <w:sz w:val="22"/>
          <w:szCs w:val="22"/>
        </w:rPr>
        <w:t>» If bcr-abl remains undetectable in your blood for a year, then you would stop taking your TKI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8F1">
        <w:rPr>
          <w:rFonts w:asciiTheme="minorHAnsi" w:hAnsiTheme="minorHAnsi" w:cstheme="minorHAnsi"/>
          <w:sz w:val="22"/>
          <w:szCs w:val="22"/>
        </w:rPr>
        <w:t>and your bcr-abl levels will be monitored for 2 years.</w:t>
      </w:r>
    </w:p>
    <w:p w:rsidR="003B08F1" w:rsidRPr="003B08F1" w:rsidRDefault="003B08F1" w:rsidP="003B08F1">
      <w:pPr>
        <w:pStyle w:val="BodyText"/>
        <w:spacing w:before="120"/>
        <w:ind w:left="1440"/>
        <w:rPr>
          <w:rFonts w:asciiTheme="minorHAnsi" w:hAnsiTheme="minorHAnsi" w:cstheme="minorHAnsi"/>
          <w:sz w:val="22"/>
          <w:szCs w:val="22"/>
        </w:rPr>
      </w:pPr>
      <w:r w:rsidRPr="003B08F1">
        <w:rPr>
          <w:rFonts w:asciiTheme="minorHAnsi" w:hAnsiTheme="minorHAnsi" w:cstheme="minorHAnsi"/>
          <w:sz w:val="22"/>
          <w:szCs w:val="22"/>
        </w:rPr>
        <w:t>» If bcr-abl becomes detectable in your blood again, you will start back on a TKI and will come off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8F1">
        <w:rPr>
          <w:rFonts w:asciiTheme="minorHAnsi" w:hAnsiTheme="minorHAnsi" w:cstheme="minorHAnsi"/>
          <w:sz w:val="22"/>
          <w:szCs w:val="22"/>
        </w:rPr>
        <w:t>the study.</w:t>
      </w:r>
    </w:p>
    <w:p w:rsidR="003B08F1" w:rsidRPr="003B08F1" w:rsidRDefault="003B08F1" w:rsidP="003B08F1">
      <w:pPr>
        <w:pStyle w:val="BodyText"/>
        <w:numPr>
          <w:ilvl w:val="1"/>
          <w:numId w:val="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B08F1">
        <w:rPr>
          <w:rFonts w:asciiTheme="minorHAnsi" w:hAnsiTheme="minorHAnsi" w:cstheme="minorHAnsi"/>
          <w:b/>
          <w:sz w:val="22"/>
          <w:szCs w:val="22"/>
        </w:rPr>
        <w:t>If bcr-abl remains detectable (you have minimal residual disease)</w:t>
      </w:r>
      <w:r w:rsidRPr="003B08F1">
        <w:rPr>
          <w:rFonts w:asciiTheme="minorHAnsi" w:hAnsiTheme="minorHAnsi" w:cstheme="minorHAnsi"/>
          <w:sz w:val="22"/>
          <w:szCs w:val="22"/>
        </w:rPr>
        <w:t>, after the first year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8F1">
        <w:rPr>
          <w:rFonts w:asciiTheme="minorHAnsi" w:hAnsiTheme="minorHAnsi" w:cstheme="minorHAnsi"/>
          <w:sz w:val="22"/>
          <w:szCs w:val="22"/>
        </w:rPr>
        <w:t>study, you will continue to Arm B and receive both TKI and pembrolizumab for another year. Then,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8F1">
        <w:rPr>
          <w:rFonts w:asciiTheme="minorHAnsi" w:hAnsiTheme="minorHAnsi" w:cstheme="minorHAnsi"/>
          <w:sz w:val="22"/>
          <w:szCs w:val="22"/>
        </w:rPr>
        <w:t>your bcr-abl levels will be checked.</w:t>
      </w:r>
    </w:p>
    <w:p w:rsidR="003B08F1" w:rsidRPr="003B08F1" w:rsidRDefault="003B08F1" w:rsidP="003B08F1">
      <w:pPr>
        <w:pStyle w:val="BodyText"/>
        <w:spacing w:before="120"/>
        <w:ind w:left="1440"/>
        <w:rPr>
          <w:rFonts w:asciiTheme="minorHAnsi" w:hAnsiTheme="minorHAnsi" w:cstheme="minorHAnsi"/>
          <w:sz w:val="22"/>
          <w:szCs w:val="22"/>
        </w:rPr>
      </w:pPr>
      <w:r w:rsidRPr="003B08F1">
        <w:rPr>
          <w:rFonts w:asciiTheme="minorHAnsi" w:hAnsiTheme="minorHAnsi" w:cstheme="minorHAnsi"/>
          <w:sz w:val="22"/>
          <w:szCs w:val="22"/>
        </w:rPr>
        <w:t>» If there is no evidence of bcr-abl, you will stop taking your TKI and you will be monitored for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8F1">
        <w:rPr>
          <w:rFonts w:asciiTheme="minorHAnsi" w:hAnsiTheme="minorHAnsi" w:cstheme="minorHAnsi"/>
          <w:sz w:val="22"/>
          <w:szCs w:val="22"/>
        </w:rPr>
        <w:t>additional 2 years. Or, if you still have detectable bcr-abl in your blood, you will come off the study.</w:t>
      </w:r>
    </w:p>
    <w:p w:rsidR="004715B2" w:rsidRPr="003B08F1" w:rsidRDefault="003B08F1" w:rsidP="003B08F1">
      <w:pPr>
        <w:pStyle w:val="BodyText"/>
        <w:numPr>
          <w:ilvl w:val="0"/>
          <w:numId w:val="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B08F1">
        <w:rPr>
          <w:rFonts w:asciiTheme="minorHAnsi" w:hAnsiTheme="minorHAnsi" w:cstheme="minorHAnsi"/>
          <w:sz w:val="22"/>
          <w:szCs w:val="22"/>
        </w:rPr>
        <w:t>After you finish your study treatment, your doctor will continue to follow your condition at least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8F1">
        <w:rPr>
          <w:rFonts w:asciiTheme="minorHAnsi" w:hAnsiTheme="minorHAnsi" w:cstheme="minorHAnsi"/>
          <w:sz w:val="22"/>
          <w:szCs w:val="22"/>
        </w:rPr>
        <w:t>6 months. You will continue to see your doctor for up to 6 years.</w:t>
      </w:r>
    </w:p>
    <w:p w:rsidR="003B08F1" w:rsidRDefault="00877806" w:rsidP="003B08F1">
      <w:pPr>
        <w:pStyle w:val="BodyText"/>
        <w:spacing w:before="12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3BB7FEAC" wp14:editId="02B029F5">
            <wp:extent cx="5943600" cy="225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8F1" w:rsidRDefault="003B08F1" w:rsidP="003B08F1">
      <w:pPr>
        <w:pStyle w:val="BodyText"/>
        <w:spacing w:before="120"/>
        <w:rPr>
          <w:b/>
        </w:rPr>
      </w:pPr>
    </w:p>
    <w:p w:rsidR="004715B2" w:rsidRPr="00CA0A26" w:rsidRDefault="004715B2" w:rsidP="00CA0A26">
      <w:pPr>
        <w:spacing w:after="0"/>
        <w:rPr>
          <w:b/>
        </w:rPr>
      </w:pPr>
      <w:r w:rsidRPr="004715B2">
        <w:rPr>
          <w:b/>
        </w:rPr>
        <w:t>Who will take part in this study?</w:t>
      </w:r>
    </w:p>
    <w:p w:rsidR="003B08F1" w:rsidRPr="003B08F1" w:rsidRDefault="003B08F1" w:rsidP="00877806">
      <w:pPr>
        <w:pStyle w:val="ListParagraph"/>
        <w:numPr>
          <w:ilvl w:val="0"/>
          <w:numId w:val="4"/>
        </w:numPr>
        <w:spacing w:before="120" w:after="0" w:line="257" w:lineRule="auto"/>
        <w:rPr>
          <w:rFonts w:eastAsia="Calibri" w:cstheme="minorHAnsi"/>
        </w:rPr>
      </w:pPr>
      <w:r w:rsidRPr="003B08F1">
        <w:rPr>
          <w:rFonts w:eastAsia="Calibri" w:cstheme="minorHAnsi"/>
        </w:rPr>
        <w:t>There will be about 40 people taking part in EA9171/BLAST MRD CML 1.</w:t>
      </w:r>
    </w:p>
    <w:p w:rsidR="003B08F1" w:rsidRPr="003B08F1" w:rsidRDefault="003B08F1" w:rsidP="003B08F1">
      <w:pPr>
        <w:pStyle w:val="ListParagraph"/>
        <w:numPr>
          <w:ilvl w:val="0"/>
          <w:numId w:val="4"/>
        </w:numPr>
        <w:spacing w:after="0"/>
        <w:rPr>
          <w:rFonts w:eastAsia="Calibri" w:cstheme="minorHAnsi"/>
        </w:rPr>
      </w:pPr>
      <w:r w:rsidRPr="003B08F1">
        <w:rPr>
          <w:rFonts w:eastAsia="Calibri" w:cstheme="minorHAnsi"/>
        </w:rPr>
        <w:t>Participants must be at least 18 years old, and must not have had a previous allogeneic transplant,</w:t>
      </w:r>
      <w:r>
        <w:rPr>
          <w:rFonts w:eastAsia="Calibri" w:cstheme="minorHAnsi"/>
        </w:rPr>
        <w:t xml:space="preserve"> </w:t>
      </w:r>
      <w:r w:rsidRPr="003B08F1">
        <w:rPr>
          <w:rFonts w:eastAsia="Calibri" w:cstheme="minorHAnsi"/>
        </w:rPr>
        <w:t>or received prior therapy with an anti-PD-1, anti-PD-L1, or anti-PD-L2 agent.</w:t>
      </w:r>
    </w:p>
    <w:p w:rsidR="004715B2" w:rsidRPr="003B08F1" w:rsidRDefault="003B08F1" w:rsidP="003B08F1">
      <w:pPr>
        <w:pStyle w:val="ListParagraph"/>
        <w:numPr>
          <w:ilvl w:val="0"/>
          <w:numId w:val="4"/>
        </w:numPr>
        <w:spacing w:after="0"/>
        <w:rPr>
          <w:rFonts w:eastAsia="Calibri" w:cstheme="minorHAnsi"/>
        </w:rPr>
      </w:pPr>
      <w:r w:rsidRPr="003B08F1">
        <w:rPr>
          <w:rFonts w:eastAsia="Calibri" w:cstheme="minorHAnsi"/>
        </w:rPr>
        <w:t>Please note, you can decide to stop taking part in this study at any time, even after you have enrolled.</w:t>
      </w:r>
    </w:p>
    <w:p w:rsidR="003B08F1" w:rsidRDefault="003B08F1" w:rsidP="003B08F1">
      <w:pPr>
        <w:spacing w:after="0"/>
        <w:rPr>
          <w:u w:val="single"/>
        </w:rPr>
      </w:pPr>
    </w:p>
    <w:p w:rsidR="004715B2" w:rsidRPr="004715B2" w:rsidRDefault="004715B2" w:rsidP="004715B2">
      <w:pPr>
        <w:spacing w:after="0"/>
        <w:rPr>
          <w:b/>
        </w:rPr>
      </w:pPr>
      <w:r w:rsidRPr="004715B2">
        <w:rPr>
          <w:b/>
        </w:rPr>
        <w:t>What are the costs of taking part in this study?</w:t>
      </w:r>
    </w:p>
    <w:p w:rsidR="003B08F1" w:rsidRPr="003B08F1" w:rsidRDefault="003B08F1" w:rsidP="00877806">
      <w:pPr>
        <w:pStyle w:val="BodyText"/>
        <w:numPr>
          <w:ilvl w:val="0"/>
          <w:numId w:val="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B08F1">
        <w:rPr>
          <w:rFonts w:asciiTheme="minorHAnsi" w:hAnsiTheme="minorHAnsi" w:cstheme="minorHAnsi"/>
          <w:sz w:val="22"/>
          <w:szCs w:val="22"/>
        </w:rPr>
        <w:t>You/your insurance provider will not have to pay for pembrolizumab (including preparation/administration)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8F1">
        <w:rPr>
          <w:rFonts w:asciiTheme="minorHAnsi" w:hAnsiTheme="minorHAnsi" w:cstheme="minorHAnsi"/>
          <w:sz w:val="22"/>
          <w:szCs w:val="22"/>
        </w:rPr>
        <w:t>or scheduled MRD assessments while you take part in EA9171/BLAST MRD CML 1.</w:t>
      </w:r>
    </w:p>
    <w:p w:rsidR="004715B2" w:rsidRPr="003B08F1" w:rsidRDefault="003B08F1" w:rsidP="003B08F1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08F1">
        <w:rPr>
          <w:rFonts w:asciiTheme="minorHAnsi" w:hAnsiTheme="minorHAnsi" w:cstheme="minorHAnsi"/>
          <w:sz w:val="22"/>
          <w:szCs w:val="22"/>
        </w:rPr>
        <w:t>You and/or your insurance plan will need to pay for some or all of the costs of medical care you get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8F1">
        <w:rPr>
          <w:rFonts w:asciiTheme="minorHAnsi" w:hAnsiTheme="minorHAnsi" w:cstheme="minorHAnsi"/>
          <w:sz w:val="22"/>
          <w:szCs w:val="22"/>
        </w:rPr>
        <w:t>as part of this study, just as you would if you were getting the usual care for your cancer. Check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8F1">
        <w:rPr>
          <w:rFonts w:asciiTheme="minorHAnsi" w:hAnsiTheme="minorHAnsi" w:cstheme="minorHAnsi"/>
          <w:sz w:val="22"/>
          <w:szCs w:val="22"/>
        </w:rPr>
        <w:t>your insurance company to find out what they will pay for.</w:t>
      </w:r>
    </w:p>
    <w:p w:rsidR="003B08F1" w:rsidRPr="006465C7" w:rsidRDefault="003B08F1" w:rsidP="003B08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4715B2" w:rsidRPr="004715B2" w:rsidRDefault="004715B2" w:rsidP="004715B2">
      <w:pPr>
        <w:spacing w:after="0"/>
        <w:rPr>
          <w:b/>
        </w:rPr>
      </w:pPr>
      <w:r w:rsidRPr="004715B2">
        <w:rPr>
          <w:b/>
        </w:rPr>
        <w:t>If you would like to know more</w:t>
      </w:r>
    </w:p>
    <w:p w:rsidR="00797358" w:rsidRDefault="00797358" w:rsidP="00877806">
      <w:pPr>
        <w:pStyle w:val="ListParagraph"/>
        <w:numPr>
          <w:ilvl w:val="0"/>
          <w:numId w:val="4"/>
        </w:numPr>
        <w:spacing w:before="120" w:after="0" w:line="257" w:lineRule="auto"/>
      </w:pPr>
      <w:r w:rsidRPr="00797358">
        <w:t>About the EA9171/BLAST MRD CML 1 study, talk with your doctor, or:</w:t>
      </w:r>
    </w:p>
    <w:p w:rsidR="00797358" w:rsidRDefault="00797358" w:rsidP="00797358">
      <w:pPr>
        <w:pStyle w:val="ListParagraph"/>
        <w:numPr>
          <w:ilvl w:val="1"/>
          <w:numId w:val="4"/>
        </w:numPr>
      </w:pPr>
      <w:r w:rsidRPr="00797358">
        <w:t xml:space="preserve">Visit </w:t>
      </w:r>
      <w:hyperlink r:id="rId16" w:history="1">
        <w:r w:rsidRPr="008C0B85">
          <w:rPr>
            <w:rStyle w:val="Hyperlink"/>
          </w:rPr>
          <w:t>www.ecog-acrin.org</w:t>
        </w:r>
      </w:hyperlink>
      <w:r>
        <w:t xml:space="preserve"> </w:t>
      </w:r>
      <w:r w:rsidRPr="00797358">
        <w:t>and search EA9171, then select the link to the EA9171 Home Page.</w:t>
      </w:r>
    </w:p>
    <w:p w:rsidR="00797358" w:rsidRDefault="00797358" w:rsidP="00797358">
      <w:pPr>
        <w:pStyle w:val="ListParagraph"/>
        <w:ind w:left="1440"/>
      </w:pPr>
      <w:r w:rsidRPr="00797358">
        <w:t>» If you are seeking information about the locations where the study is available, scroll down</w:t>
      </w:r>
      <w:r>
        <w:t xml:space="preserve"> </w:t>
      </w:r>
      <w:r w:rsidRPr="00797358">
        <w:t>the page to Locations and Contacts and click the + sign.</w:t>
      </w:r>
    </w:p>
    <w:p w:rsidR="00797358" w:rsidRPr="00797358" w:rsidRDefault="00797358" w:rsidP="00797358">
      <w:pPr>
        <w:pStyle w:val="ListParagraph"/>
        <w:numPr>
          <w:ilvl w:val="1"/>
          <w:numId w:val="4"/>
        </w:numPr>
      </w:pPr>
      <w:r w:rsidRPr="00797358">
        <w:t>Call the NCI Cancer Information Service at 1-800-4-CANCER (1-800-422-6237)</w:t>
      </w:r>
    </w:p>
    <w:p w:rsidR="00797358" w:rsidRDefault="00797358" w:rsidP="00797358">
      <w:pPr>
        <w:pStyle w:val="ListParagraph"/>
        <w:numPr>
          <w:ilvl w:val="0"/>
          <w:numId w:val="4"/>
        </w:numPr>
      </w:pPr>
      <w:r w:rsidRPr="00797358">
        <w:t>About clinical trials:</w:t>
      </w:r>
    </w:p>
    <w:p w:rsidR="00797358" w:rsidRDefault="00797358" w:rsidP="00797358">
      <w:pPr>
        <w:pStyle w:val="ListParagraph"/>
        <w:numPr>
          <w:ilvl w:val="1"/>
          <w:numId w:val="4"/>
        </w:numPr>
      </w:pPr>
      <w:r w:rsidRPr="00797358">
        <w:t xml:space="preserve">General cancer information: visit the NCI website at </w:t>
      </w:r>
      <w:hyperlink r:id="rId17" w:history="1">
        <w:r w:rsidRPr="008C0B85">
          <w:rPr>
            <w:rStyle w:val="Hyperlink"/>
          </w:rPr>
          <w:t>www.cancer.gov</w:t>
        </w:r>
      </w:hyperlink>
    </w:p>
    <w:p w:rsidR="00797358" w:rsidRPr="00797358" w:rsidRDefault="00797358" w:rsidP="00797358">
      <w:pPr>
        <w:pStyle w:val="ListParagraph"/>
        <w:numPr>
          <w:ilvl w:val="1"/>
          <w:numId w:val="4"/>
        </w:numPr>
      </w:pPr>
      <w:r w:rsidRPr="00797358">
        <w:t xml:space="preserve">Insurance coverage: visit </w:t>
      </w:r>
      <w:hyperlink r:id="rId18" w:history="1">
        <w:r w:rsidRPr="008C0B85">
          <w:rPr>
            <w:rStyle w:val="Hyperlink"/>
          </w:rPr>
          <w:t>www.cancer.gov/clinicaltrials/learningabout/payingfor</w:t>
        </w:r>
      </w:hyperlink>
      <w:r>
        <w:t xml:space="preserve"> </w:t>
      </w:r>
    </w:p>
    <w:p w:rsidR="00797358" w:rsidRDefault="00797358" w:rsidP="00797358">
      <w:pPr>
        <w:pStyle w:val="ListParagraph"/>
        <w:numPr>
          <w:ilvl w:val="0"/>
          <w:numId w:val="4"/>
        </w:numPr>
      </w:pPr>
      <w:r w:rsidRPr="00797358">
        <w:t>About ECOG-ACRIN:</w:t>
      </w:r>
    </w:p>
    <w:p w:rsidR="00797358" w:rsidRDefault="00797358" w:rsidP="00797358">
      <w:pPr>
        <w:pStyle w:val="ListParagraph"/>
        <w:numPr>
          <w:ilvl w:val="1"/>
          <w:numId w:val="4"/>
        </w:numPr>
      </w:pPr>
      <w:r w:rsidRPr="00797358">
        <w:t xml:space="preserve">Visit </w:t>
      </w:r>
      <w:hyperlink r:id="rId19" w:history="1">
        <w:r w:rsidRPr="008C0B85">
          <w:rPr>
            <w:rStyle w:val="Hyperlink"/>
          </w:rPr>
          <w:t>www.ecog-acrin.org</w:t>
        </w:r>
      </w:hyperlink>
    </w:p>
    <w:p w:rsidR="004715B2" w:rsidRPr="00797358" w:rsidRDefault="00797358" w:rsidP="00797358">
      <w:pPr>
        <w:pStyle w:val="ListParagraph"/>
        <w:numPr>
          <w:ilvl w:val="1"/>
          <w:numId w:val="4"/>
        </w:numPr>
      </w:pPr>
      <w:r w:rsidRPr="00797358">
        <w:t>For a list of patient resources and links to patient advocacy</w:t>
      </w:r>
      <w:r>
        <w:t xml:space="preserve"> </w:t>
      </w:r>
      <w:r w:rsidRPr="00797358">
        <w:t xml:space="preserve">groups, visit </w:t>
      </w:r>
      <w:hyperlink r:id="rId20" w:history="1">
        <w:r w:rsidR="00710531" w:rsidRPr="008C0B85">
          <w:rPr>
            <w:rStyle w:val="Hyperlink"/>
          </w:rPr>
          <w:t>https://ecog-acrin.org/patients/resources</w:t>
        </w:r>
      </w:hyperlink>
      <w:r w:rsidR="00710531">
        <w:t xml:space="preserve"> </w:t>
      </w:r>
    </w:p>
    <w:p w:rsidR="004715B2" w:rsidRPr="004715B2" w:rsidRDefault="004715B2" w:rsidP="004715B2">
      <w:pPr>
        <w:rPr>
          <w:u w:val="single"/>
        </w:rPr>
      </w:pPr>
      <w:bookmarkStart w:id="0" w:name="_GoBack"/>
      <w:bookmarkEnd w:id="0"/>
      <w:r w:rsidRPr="004715B2">
        <w:rPr>
          <w:u w:val="single"/>
        </w:rPr>
        <w:lastRenderedPageBreak/>
        <w:t>Social Media Messaging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770"/>
      </w:tblGrid>
      <w:tr w:rsidR="004715B2" w:rsidRPr="001C6B25" w:rsidTr="0028515D">
        <w:trPr>
          <w:trHeight w:val="260"/>
        </w:trPr>
        <w:tc>
          <w:tcPr>
            <w:tcW w:w="4225" w:type="dxa"/>
            <w:shd w:val="clear" w:color="auto" w:fill="D9D9D9" w:themeFill="background1" w:themeFillShade="D9"/>
            <w:vAlign w:val="center"/>
          </w:tcPr>
          <w:p w:rsidR="004715B2" w:rsidRPr="001C6B25" w:rsidRDefault="004715B2" w:rsidP="0028515D">
            <w:pPr>
              <w:rPr>
                <w:b/>
              </w:rPr>
            </w:pPr>
            <w:r>
              <w:rPr>
                <w:b/>
              </w:rPr>
              <w:t>Facebook/LinkedIn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4715B2" w:rsidRPr="001C6B25" w:rsidRDefault="004715B2" w:rsidP="0028515D">
            <w:pPr>
              <w:rPr>
                <w:b/>
              </w:rPr>
            </w:pPr>
            <w:r>
              <w:rPr>
                <w:b/>
              </w:rPr>
              <w:t>Twitter</w:t>
            </w:r>
          </w:p>
        </w:tc>
      </w:tr>
      <w:tr w:rsidR="004715B2" w:rsidRPr="001D6145" w:rsidTr="0028515D">
        <w:tc>
          <w:tcPr>
            <w:tcW w:w="4225" w:type="dxa"/>
            <w:vAlign w:val="bottom"/>
          </w:tcPr>
          <w:p w:rsidR="004715B2" w:rsidRDefault="005547A2" w:rsidP="00CA517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5547A2">
              <w:rPr>
                <w:rFonts w:ascii="Calibri" w:eastAsia="Times New Roman" w:hAnsi="Calibri" w:cs="Calibri"/>
                <w:bCs/>
                <w:color w:val="000000"/>
              </w:rPr>
              <w:t>Dr. Amer Zeidan of @SmilowCancerHospital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is leading</w:t>
            </w:r>
            <w:r w:rsidRPr="005547A2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clinical study</w:t>
            </w:r>
            <w:r w:rsidR="004715B2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="000C54FA">
              <w:rPr>
                <w:rFonts w:ascii="Calibri" w:eastAsia="Times New Roman" w:hAnsi="Calibri" w:cs="Calibri"/>
                <w:bCs/>
                <w:color w:val="000000"/>
              </w:rPr>
              <w:t>EA9171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, </w:t>
            </w:r>
            <w:r w:rsidR="00133709">
              <w:rPr>
                <w:rFonts w:ascii="Calibri" w:eastAsia="Times New Roman" w:hAnsi="Calibri" w:cs="Calibri"/>
                <w:bCs/>
                <w:color w:val="000000"/>
              </w:rPr>
              <w:t>testing</w:t>
            </w:r>
            <w:r w:rsidR="004715B2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="000C54FA">
              <w:rPr>
                <w:rFonts w:ascii="Calibri" w:eastAsia="Times New Roman" w:hAnsi="Calibri" w:cs="Calibri"/>
                <w:bCs/>
                <w:color w:val="000000"/>
              </w:rPr>
              <w:t>if adding a new drug</w:t>
            </w:r>
            <w:r w:rsidR="000C54FA" w:rsidRPr="000C54FA">
              <w:rPr>
                <w:rFonts w:ascii="Calibri" w:eastAsia="Times New Roman" w:hAnsi="Calibri" w:cs="Calibri"/>
                <w:bCs/>
                <w:color w:val="000000"/>
              </w:rPr>
              <w:t xml:space="preserve"> to the usual treatment</w:t>
            </w:r>
            <w:r w:rsidR="00F92DA1">
              <w:rPr>
                <w:rFonts w:ascii="Calibri" w:eastAsia="Times New Roman" w:hAnsi="Calibri" w:cs="Calibri"/>
                <w:bCs/>
                <w:color w:val="000000"/>
              </w:rPr>
              <w:t xml:space="preserve"> for </w:t>
            </w:r>
            <w:r w:rsidR="000C54FA">
              <w:rPr>
                <w:rFonts w:ascii="Calibri" w:eastAsia="Times New Roman" w:hAnsi="Calibri" w:cs="Calibri"/>
                <w:bCs/>
                <w:color w:val="000000"/>
              </w:rPr>
              <w:t>chronic myelogenous leukemia</w:t>
            </w:r>
            <w:r w:rsidR="00F92DA1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="00CA517F">
              <w:rPr>
                <w:rFonts w:ascii="Calibri" w:eastAsia="Times New Roman" w:hAnsi="Calibri" w:cs="Calibri"/>
                <w:bCs/>
                <w:color w:val="000000"/>
              </w:rPr>
              <w:t>could</w:t>
            </w:r>
            <w:r w:rsidR="00F92DA1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help patients</w:t>
            </w:r>
            <w:r w:rsidR="00F92DA1">
              <w:rPr>
                <w:rFonts w:ascii="Calibri" w:eastAsia="Times New Roman" w:hAnsi="Calibri" w:cs="Calibri"/>
                <w:bCs/>
                <w:color w:val="000000"/>
              </w:rPr>
              <w:t>.</w:t>
            </w:r>
            <w:r w:rsidR="00F92DA1" w:rsidRPr="00F92DA1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="004715B2">
              <w:rPr>
                <w:rFonts w:ascii="Calibri" w:eastAsia="Times New Roman" w:hAnsi="Calibri" w:cs="Calibri"/>
                <w:bCs/>
                <w:color w:val="000000"/>
              </w:rPr>
              <w:t xml:space="preserve">Learn more: </w:t>
            </w:r>
            <w:r w:rsidR="00D94F48" w:rsidRPr="00D94F48">
              <w:rPr>
                <w:rStyle w:val="Hyperlink"/>
                <w:rFonts w:ascii="Calibri" w:eastAsia="Times New Roman" w:hAnsi="Calibri" w:cs="Calibri"/>
                <w:bCs/>
              </w:rPr>
              <w:t>https://bit.ly/ea9171-study</w:t>
            </w:r>
          </w:p>
        </w:tc>
        <w:tc>
          <w:tcPr>
            <w:tcW w:w="4770" w:type="dxa"/>
            <w:vAlign w:val="bottom"/>
          </w:tcPr>
          <w:p w:rsidR="004715B2" w:rsidRDefault="005547A2" w:rsidP="00CA517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.</w:t>
            </w:r>
            <w:r w:rsidR="00CA0A26" w:rsidRPr="00CA0A26">
              <w:rPr>
                <w:rFonts w:ascii="Calibri" w:eastAsia="Times New Roman" w:hAnsi="Calibri" w:cs="Calibri"/>
                <w:bCs/>
                <w:color w:val="000000"/>
              </w:rPr>
              <w:t>@Dr_AmerZeidan</w:t>
            </w:r>
            <w:r w:rsidR="00CA0A26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="004715B2">
              <w:rPr>
                <w:rFonts w:ascii="Calibri" w:eastAsia="Times New Roman" w:hAnsi="Calibri" w:cs="Calibri"/>
                <w:bCs/>
                <w:color w:val="000000"/>
              </w:rPr>
              <w:t xml:space="preserve">of </w:t>
            </w:r>
            <w:r w:rsidR="00CA0A26" w:rsidRPr="00CA0A26">
              <w:rPr>
                <w:rFonts w:ascii="Calibri" w:eastAsia="Times New Roman" w:hAnsi="Calibri" w:cs="Calibri"/>
                <w:bCs/>
                <w:color w:val="000000"/>
              </w:rPr>
              <w:t>@SmilowCancer</w:t>
            </w:r>
            <w:r w:rsidR="00CA0A26">
              <w:rPr>
                <w:rFonts w:ascii="Calibri" w:eastAsia="Times New Roman" w:hAnsi="Calibri" w:cs="Calibri"/>
                <w:bCs/>
                <w:color w:val="000000"/>
              </w:rPr>
              <w:t xml:space="preserve"> &amp; </w:t>
            </w:r>
            <w:r w:rsidR="00CA0A26" w:rsidRPr="00CA0A26">
              <w:rPr>
                <w:rFonts w:ascii="Calibri" w:eastAsia="Times New Roman" w:hAnsi="Calibri" w:cs="Calibri"/>
                <w:bCs/>
                <w:color w:val="000000"/>
              </w:rPr>
              <w:t>@YaleCancer</w:t>
            </w:r>
            <w:r w:rsidR="004715B2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="00133709">
              <w:rPr>
                <w:rFonts w:ascii="Calibri" w:eastAsia="Times New Roman" w:hAnsi="Calibri" w:cs="Calibri"/>
                <w:bCs/>
                <w:color w:val="000000"/>
              </w:rPr>
              <w:t>is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leading</w:t>
            </w:r>
            <w:r w:rsidRPr="005547A2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clinical study EA9171, </w:t>
            </w:r>
            <w:r w:rsidR="00133709">
              <w:rPr>
                <w:rFonts w:ascii="Calibri" w:eastAsia="Times New Roman" w:hAnsi="Calibri" w:cs="Calibri"/>
                <w:bCs/>
                <w:color w:val="000000"/>
              </w:rPr>
              <w:t xml:space="preserve">testing if </w:t>
            </w:r>
            <w:r w:rsidR="00CA0A26" w:rsidRPr="00CA0A26">
              <w:rPr>
                <w:rFonts w:ascii="Calibri" w:eastAsia="Times New Roman" w:hAnsi="Calibri" w:cs="Calibri"/>
                <w:bCs/>
                <w:color w:val="000000"/>
              </w:rPr>
              <w:t xml:space="preserve">adding a new drug to the usual treatment for chronic myelogenous </w:t>
            </w:r>
            <w:r w:rsidR="00CA0A26">
              <w:rPr>
                <w:rFonts w:ascii="Calibri" w:eastAsia="Times New Roman" w:hAnsi="Calibri" w:cs="Calibri"/>
                <w:bCs/>
                <w:color w:val="000000"/>
              </w:rPr>
              <w:t>#</w:t>
            </w:r>
            <w:r w:rsidR="00CA0A26" w:rsidRPr="00CA0A26">
              <w:rPr>
                <w:rFonts w:ascii="Calibri" w:eastAsia="Times New Roman" w:hAnsi="Calibri" w:cs="Calibri"/>
                <w:bCs/>
                <w:color w:val="000000"/>
              </w:rPr>
              <w:t xml:space="preserve">leukemia </w:t>
            </w:r>
            <w:r w:rsidR="00CA517F">
              <w:rPr>
                <w:rFonts w:ascii="Calibri" w:eastAsia="Times New Roman" w:hAnsi="Calibri" w:cs="Calibri"/>
                <w:bCs/>
                <w:color w:val="000000"/>
              </w:rPr>
              <w:t>could</w:t>
            </w:r>
            <w:r w:rsidR="00CA0A26" w:rsidRPr="00CA0A26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help patients</w:t>
            </w:r>
            <w:r w:rsidR="00133709" w:rsidRPr="00634758">
              <w:rPr>
                <w:rFonts w:ascii="Calibri" w:eastAsia="Times New Roman" w:hAnsi="Calibri" w:cs="Calibri"/>
                <w:bCs/>
                <w:color w:val="000000"/>
              </w:rPr>
              <w:t>.</w:t>
            </w:r>
            <w:r w:rsidR="00133709">
              <w:rPr>
                <w:rFonts w:ascii="Calibri" w:eastAsia="Times New Roman" w:hAnsi="Calibri" w:cs="Calibri"/>
                <w:bCs/>
                <w:color w:val="000000"/>
              </w:rPr>
              <w:t xml:space="preserve"> Learn more: </w:t>
            </w:r>
            <w:r w:rsidR="00CA0A26" w:rsidRPr="00D94F48">
              <w:rPr>
                <w:rStyle w:val="Hyperlink"/>
                <w:rFonts w:ascii="Calibri" w:eastAsia="Times New Roman" w:hAnsi="Calibri" w:cs="Calibri"/>
                <w:bCs/>
              </w:rPr>
              <w:t>https://bit.ly/ea9171-study</w:t>
            </w:r>
            <w:r w:rsidR="00133709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="00CA0A26">
              <w:rPr>
                <w:rFonts w:ascii="Calibri" w:eastAsia="Times New Roman" w:hAnsi="Calibri" w:cs="Calibri"/>
                <w:bCs/>
                <w:color w:val="000000"/>
              </w:rPr>
              <w:t>#CML #leusm</w:t>
            </w:r>
          </w:p>
        </w:tc>
      </w:tr>
      <w:tr w:rsidR="003726B5" w:rsidRPr="002113C0" w:rsidTr="0028515D">
        <w:tc>
          <w:tcPr>
            <w:tcW w:w="4225" w:type="dxa"/>
            <w:vAlign w:val="bottom"/>
          </w:tcPr>
          <w:p w:rsidR="003726B5" w:rsidRDefault="003726B5" w:rsidP="00D94F48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3726B5">
              <w:rPr>
                <w:rFonts w:ascii="Calibri" w:eastAsia="Times New Roman" w:hAnsi="Calibri" w:cs="Calibri"/>
                <w:bCs/>
                <w:color w:val="000000"/>
              </w:rPr>
              <w:t xml:space="preserve">Do you have </w:t>
            </w:r>
            <w:r w:rsidR="00D94F48">
              <w:rPr>
                <w:rFonts w:ascii="Calibri" w:eastAsia="Times New Roman" w:hAnsi="Calibri" w:cs="Calibri"/>
                <w:bCs/>
                <w:color w:val="000000"/>
              </w:rPr>
              <w:t>chronic myelogenous leukemia (CML)</w:t>
            </w:r>
            <w:r w:rsidRPr="003726B5">
              <w:rPr>
                <w:rFonts w:ascii="Calibri" w:eastAsia="Times New Roman" w:hAnsi="Calibri" w:cs="Calibri"/>
                <w:bCs/>
                <w:color w:val="000000"/>
              </w:rPr>
              <w:t>? If so, you may be able to participate in this study of a potential new treatment.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Learn more: </w:t>
            </w:r>
            <w:r w:rsidR="00D94F48" w:rsidRPr="00D94F48">
              <w:rPr>
                <w:rStyle w:val="Hyperlink"/>
                <w:rFonts w:ascii="Calibri" w:eastAsia="Times New Roman" w:hAnsi="Calibri" w:cs="Calibri"/>
                <w:bCs/>
              </w:rPr>
              <w:t>https://bit.ly/ea9171-study</w:t>
            </w:r>
          </w:p>
        </w:tc>
        <w:tc>
          <w:tcPr>
            <w:tcW w:w="4770" w:type="dxa"/>
            <w:vAlign w:val="bottom"/>
          </w:tcPr>
          <w:p w:rsidR="003726B5" w:rsidRPr="001A561F" w:rsidRDefault="00D94F48" w:rsidP="00D94F48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3726B5">
              <w:rPr>
                <w:rFonts w:ascii="Calibri" w:eastAsia="Times New Roman" w:hAnsi="Calibri" w:cs="Calibri"/>
                <w:bCs/>
                <w:color w:val="000000"/>
              </w:rPr>
              <w:t xml:space="preserve">Do you have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chronic myelogenous #leukemia (#CML)</w:t>
            </w:r>
            <w:r w:rsidRPr="003726B5">
              <w:rPr>
                <w:rFonts w:ascii="Calibri" w:eastAsia="Times New Roman" w:hAnsi="Calibri" w:cs="Calibri"/>
                <w:bCs/>
                <w:color w:val="000000"/>
              </w:rPr>
              <w:t>? If so, you may be able to participate in this study of a potential new treatment.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Learn more: </w:t>
            </w:r>
            <w:r w:rsidRPr="00D94F48">
              <w:rPr>
                <w:rStyle w:val="Hyperlink"/>
                <w:rFonts w:ascii="Calibri" w:eastAsia="Times New Roman" w:hAnsi="Calibri" w:cs="Calibri"/>
                <w:bCs/>
              </w:rPr>
              <w:t>https://bit.ly/ea9171-study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#leusm #BloodCancer</w:t>
            </w:r>
          </w:p>
        </w:tc>
      </w:tr>
      <w:tr w:rsidR="00E246F3" w:rsidRPr="002113C0" w:rsidTr="0028515D">
        <w:tc>
          <w:tcPr>
            <w:tcW w:w="4225" w:type="dxa"/>
            <w:vAlign w:val="bottom"/>
          </w:tcPr>
          <w:p w:rsidR="00E246F3" w:rsidRPr="00B94B88" w:rsidRDefault="00B94B88" w:rsidP="00FF6990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If you </w:t>
            </w:r>
            <w:r w:rsidRPr="003726B5">
              <w:rPr>
                <w:rFonts w:ascii="Calibri" w:eastAsia="Times New Roman" w:hAnsi="Calibri" w:cs="Calibri"/>
                <w:bCs/>
                <w:color w:val="000000"/>
              </w:rPr>
              <w:t xml:space="preserve">have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chronic myelogenous leukemia (CML) you may be eligible to participate in a study that could help advance </w:t>
            </w:r>
            <w:r w:rsidR="005547A2">
              <w:rPr>
                <w:rFonts w:ascii="Calibri" w:eastAsia="Times New Roman" w:hAnsi="Calibri" w:cs="Calibri"/>
                <w:bCs/>
                <w:color w:val="000000"/>
              </w:rPr>
              <w:t>treatment for future patients</w:t>
            </w:r>
            <w:r w:rsidR="00E246F3" w:rsidRPr="00B94B88">
              <w:rPr>
                <w:rFonts w:ascii="Calibri" w:eastAsia="Times New Roman" w:hAnsi="Calibri" w:cs="Calibri"/>
                <w:bCs/>
                <w:color w:val="000000"/>
              </w:rPr>
              <w:t xml:space="preserve">. Learn more: </w:t>
            </w:r>
            <w:r w:rsidR="005547A2" w:rsidRPr="00D94F48">
              <w:rPr>
                <w:rStyle w:val="Hyperlink"/>
                <w:rFonts w:ascii="Calibri" w:eastAsia="Times New Roman" w:hAnsi="Calibri" w:cs="Calibri"/>
                <w:bCs/>
              </w:rPr>
              <w:t>https://bit.ly/ea9171-study</w:t>
            </w:r>
          </w:p>
        </w:tc>
        <w:tc>
          <w:tcPr>
            <w:tcW w:w="4770" w:type="dxa"/>
            <w:vAlign w:val="bottom"/>
          </w:tcPr>
          <w:p w:rsidR="00E246F3" w:rsidRPr="00B94B88" w:rsidRDefault="005547A2" w:rsidP="005547A2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If you </w:t>
            </w:r>
            <w:r w:rsidRPr="003726B5">
              <w:rPr>
                <w:rFonts w:ascii="Calibri" w:eastAsia="Times New Roman" w:hAnsi="Calibri" w:cs="Calibri"/>
                <w:bCs/>
                <w:color w:val="000000"/>
              </w:rPr>
              <w:t xml:space="preserve">have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chronic myelogenous #leukemia (#CML) you may be eligible to participate in a study that could help advance treatment for future patients</w:t>
            </w:r>
            <w:r w:rsidRPr="00B94B88">
              <w:rPr>
                <w:rFonts w:ascii="Calibri" w:eastAsia="Times New Roman" w:hAnsi="Calibri" w:cs="Calibri"/>
                <w:bCs/>
                <w:color w:val="000000"/>
              </w:rPr>
              <w:t xml:space="preserve">. </w:t>
            </w:r>
            <w:r w:rsidR="00FF6990" w:rsidRPr="00B94B88">
              <w:rPr>
                <w:rFonts w:ascii="Calibri" w:eastAsia="Times New Roman" w:hAnsi="Calibri" w:cs="Calibri"/>
                <w:bCs/>
                <w:color w:val="000000"/>
              </w:rPr>
              <w:t xml:space="preserve">Learn more: </w:t>
            </w:r>
            <w:r w:rsidR="00E246F3" w:rsidRPr="00B94B88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hyperlink r:id="rId21" w:history="1">
              <w:r w:rsidRPr="00C4202F">
                <w:rPr>
                  <w:rStyle w:val="Hyperlink"/>
                  <w:rFonts w:ascii="Calibri" w:eastAsia="Times New Roman" w:hAnsi="Calibri" w:cs="Calibri"/>
                  <w:bCs/>
                </w:rPr>
                <w:t>https://bit.ly/ea9171-study</w:t>
              </w:r>
            </w:hyperlink>
            <w:r>
              <w:rPr>
                <w:rStyle w:val="Hyperlink"/>
                <w:rFonts w:ascii="Calibri" w:eastAsia="Times New Roman" w:hAnsi="Calibri" w:cs="Calibri"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#CML #leusm</w:t>
            </w:r>
          </w:p>
        </w:tc>
      </w:tr>
    </w:tbl>
    <w:p w:rsidR="004715B2" w:rsidRDefault="004715B2" w:rsidP="000C54FA">
      <w:r>
        <w:rPr>
          <w:b/>
        </w:rPr>
        <w:br/>
      </w:r>
      <w:r w:rsidRPr="00AA7C87">
        <w:rPr>
          <w:b/>
        </w:rPr>
        <w:t>Hashtags:</w:t>
      </w:r>
      <w:r>
        <w:rPr>
          <w:b/>
        </w:rPr>
        <w:t xml:space="preserve"> </w:t>
      </w:r>
      <w:r w:rsidR="00D94F48">
        <w:t>#leukemia #CML #leusm #BloodCancer</w:t>
      </w:r>
    </w:p>
    <w:p w:rsidR="00E2381A" w:rsidRDefault="00E2381A" w:rsidP="000C54FA">
      <w:r>
        <w:rPr>
          <w:noProof/>
        </w:rPr>
        <w:drawing>
          <wp:inline distT="0" distB="0" distL="0" distR="0">
            <wp:extent cx="4572000" cy="239248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9171-sm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9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4FA" w:rsidRPr="000C54FA" w:rsidRDefault="00E2381A" w:rsidP="000C54FA">
      <w:r>
        <w:rPr>
          <w:noProof/>
        </w:rPr>
        <w:lastRenderedPageBreak/>
        <w:drawing>
          <wp:inline distT="0" distB="0" distL="0" distR="0">
            <wp:extent cx="4572000" cy="239248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9171-sm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9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6F3" w:rsidRPr="004715B2" w:rsidRDefault="00E246F3" w:rsidP="004715B2">
      <w:pPr>
        <w:pStyle w:val="BodyText"/>
        <w:spacing w:before="120"/>
        <w:ind w:left="0"/>
        <w:rPr>
          <w:rFonts w:asciiTheme="minorHAnsi" w:hAnsiTheme="minorHAnsi" w:cstheme="minorHAnsi"/>
          <w:b/>
          <w:sz w:val="22"/>
          <w:szCs w:val="22"/>
        </w:rPr>
      </w:pPr>
    </w:p>
    <w:sectPr w:rsidR="00E246F3" w:rsidRPr="004715B2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B4" w:rsidRDefault="00544DB4" w:rsidP="004715B2">
      <w:pPr>
        <w:spacing w:after="0" w:line="240" w:lineRule="auto"/>
      </w:pPr>
      <w:r>
        <w:separator/>
      </w:r>
    </w:p>
  </w:endnote>
  <w:endnote w:type="continuationSeparator" w:id="0">
    <w:p w:rsidR="00544DB4" w:rsidRDefault="00544DB4" w:rsidP="0047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119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806" w:rsidRDefault="008778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7806" w:rsidRDefault="00877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B4" w:rsidRDefault="00544DB4" w:rsidP="004715B2">
      <w:pPr>
        <w:spacing w:after="0" w:line="240" w:lineRule="auto"/>
      </w:pPr>
      <w:r>
        <w:separator/>
      </w:r>
    </w:p>
  </w:footnote>
  <w:footnote w:type="continuationSeparator" w:id="0">
    <w:p w:rsidR="00544DB4" w:rsidRDefault="00544DB4" w:rsidP="0047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B2" w:rsidRPr="00ED20F8" w:rsidRDefault="004715B2" w:rsidP="004715B2">
    <w:pPr>
      <w:pStyle w:val="BodyText"/>
      <w:ind w:left="0"/>
      <w:jc w:val="right"/>
      <w:rPr>
        <w:sz w:val="22"/>
      </w:rPr>
    </w:pPr>
    <w:r w:rsidRPr="00ED20F8">
      <w:rPr>
        <w:noProof/>
        <w:color w:val="2AA9E0"/>
        <w:sz w:val="22"/>
      </w:rPr>
      <w:drawing>
        <wp:anchor distT="0" distB="0" distL="114300" distR="114300" simplePos="0" relativeHeight="251659264" behindDoc="0" locked="0" layoutInCell="1" allowOverlap="1" wp14:anchorId="2ABBE630" wp14:editId="057A7DD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037997" cy="387350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OG-ACRIN_Logo_Color_N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99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>Patient-Directed Communications Plan</w:t>
    </w:r>
  </w:p>
  <w:p w:rsidR="004715B2" w:rsidRPr="00ED20F8" w:rsidRDefault="004715B2" w:rsidP="004715B2">
    <w:pPr>
      <w:pStyle w:val="BodyText"/>
      <w:ind w:left="0"/>
      <w:jc w:val="right"/>
      <w:rPr>
        <w:sz w:val="22"/>
      </w:rPr>
    </w:pPr>
    <w:r>
      <w:rPr>
        <w:sz w:val="22"/>
      </w:rPr>
      <w:t>EA</w:t>
    </w:r>
    <w:r w:rsidR="00652EC7">
      <w:rPr>
        <w:sz w:val="22"/>
      </w:rPr>
      <w:t>9171</w:t>
    </w:r>
  </w:p>
  <w:p w:rsidR="004715B2" w:rsidRPr="004715B2" w:rsidRDefault="00877806" w:rsidP="004715B2">
    <w:pPr>
      <w:pStyle w:val="BodyText"/>
      <w:ind w:left="0"/>
      <w:jc w:val="right"/>
      <w:rPr>
        <w:sz w:val="22"/>
      </w:rPr>
    </w:pPr>
    <w:r>
      <w:rPr>
        <w:sz w:val="22"/>
      </w:rPr>
      <w:t>11Apr</w:t>
    </w:r>
    <w:r w:rsidR="004715B2">
      <w:rPr>
        <w:sz w:val="22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B02"/>
    <w:multiLevelType w:val="hybridMultilevel"/>
    <w:tmpl w:val="8254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270D"/>
    <w:multiLevelType w:val="hybridMultilevel"/>
    <w:tmpl w:val="BF6E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01DD"/>
    <w:multiLevelType w:val="hybridMultilevel"/>
    <w:tmpl w:val="5696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35328"/>
    <w:multiLevelType w:val="hybridMultilevel"/>
    <w:tmpl w:val="324AA840"/>
    <w:lvl w:ilvl="0" w:tplc="78909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500677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5B1B"/>
    <w:multiLevelType w:val="hybridMultilevel"/>
    <w:tmpl w:val="E808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85E44"/>
    <w:multiLevelType w:val="hybridMultilevel"/>
    <w:tmpl w:val="50BE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76126"/>
    <w:multiLevelType w:val="hybridMultilevel"/>
    <w:tmpl w:val="2AAC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055E9"/>
    <w:multiLevelType w:val="hybridMultilevel"/>
    <w:tmpl w:val="DC4C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A4B9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910C0"/>
    <w:multiLevelType w:val="hybridMultilevel"/>
    <w:tmpl w:val="5928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A4B9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74FE0"/>
    <w:multiLevelType w:val="hybridMultilevel"/>
    <w:tmpl w:val="C1C63D7A"/>
    <w:lvl w:ilvl="0" w:tplc="F43C681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B2"/>
    <w:rsid w:val="0003376A"/>
    <w:rsid w:val="000C54FA"/>
    <w:rsid w:val="00133709"/>
    <w:rsid w:val="003726B5"/>
    <w:rsid w:val="003B08F1"/>
    <w:rsid w:val="004715B2"/>
    <w:rsid w:val="00544DB4"/>
    <w:rsid w:val="005547A2"/>
    <w:rsid w:val="005C1657"/>
    <w:rsid w:val="00652EC7"/>
    <w:rsid w:val="006901FC"/>
    <w:rsid w:val="00710531"/>
    <w:rsid w:val="00797358"/>
    <w:rsid w:val="00877806"/>
    <w:rsid w:val="00950568"/>
    <w:rsid w:val="00A3259C"/>
    <w:rsid w:val="00A74E79"/>
    <w:rsid w:val="00B24595"/>
    <w:rsid w:val="00B94B88"/>
    <w:rsid w:val="00BE1866"/>
    <w:rsid w:val="00CA0A26"/>
    <w:rsid w:val="00CA517F"/>
    <w:rsid w:val="00CC114A"/>
    <w:rsid w:val="00D94F48"/>
    <w:rsid w:val="00E2381A"/>
    <w:rsid w:val="00E246F3"/>
    <w:rsid w:val="00F92DA1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89320-FB8B-41B0-8052-F60CC64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5B2"/>
  </w:style>
  <w:style w:type="paragraph" w:styleId="Footer">
    <w:name w:val="footer"/>
    <w:basedOn w:val="Normal"/>
    <w:link w:val="FooterChar"/>
    <w:uiPriority w:val="99"/>
    <w:unhideWhenUsed/>
    <w:rsid w:val="0047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B2"/>
  </w:style>
  <w:style w:type="paragraph" w:styleId="BodyText">
    <w:name w:val="Body Text"/>
    <w:basedOn w:val="Normal"/>
    <w:link w:val="BodyTextChar"/>
    <w:uiPriority w:val="1"/>
    <w:qFormat/>
    <w:rsid w:val="004715B2"/>
    <w:pPr>
      <w:widowControl w:val="0"/>
      <w:spacing w:after="0" w:line="240" w:lineRule="auto"/>
      <w:ind w:left="87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15B2"/>
    <w:rPr>
      <w:rFonts w:ascii="Calibri" w:eastAsia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15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5B2"/>
    <w:pPr>
      <w:spacing w:line="256" w:lineRule="auto"/>
      <w:ind w:left="720"/>
      <w:contextualSpacing/>
    </w:pPr>
  </w:style>
  <w:style w:type="paragraph" w:customStyle="1" w:styleId="Default">
    <w:name w:val="Default"/>
    <w:rsid w:val="004715B2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715B2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715B2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715B2"/>
    <w:rPr>
      <w:rFonts w:cs="HelveticaNeueLT Std"/>
      <w:color w:val="221E1F"/>
      <w:sz w:val="22"/>
      <w:szCs w:val="22"/>
    </w:rPr>
  </w:style>
  <w:style w:type="table" w:styleId="TableGrid">
    <w:name w:val="Table Grid"/>
    <w:basedOn w:val="TableNormal"/>
    <w:uiPriority w:val="39"/>
    <w:rsid w:val="0047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g-acrin.org" TargetMode="External"/><Relationship Id="rId13" Type="http://schemas.openxmlformats.org/officeDocument/2006/relationships/hyperlink" Target="https://www.linkedin.com/company/ecog-acrin-cancer-research-group/" TargetMode="External"/><Relationship Id="rId18" Type="http://schemas.openxmlformats.org/officeDocument/2006/relationships/hyperlink" Target="http://www.cancer.gov/clinicaltrials/learningabout/payingfo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t.ly/ea9171-stud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eaonc/" TargetMode="External"/><Relationship Id="rId17" Type="http://schemas.openxmlformats.org/officeDocument/2006/relationships/hyperlink" Target="http://www.cancer.gov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cog-acrin.org" TargetMode="External"/><Relationship Id="rId20" Type="http://schemas.openxmlformats.org/officeDocument/2006/relationships/hyperlink" Target="https://ecog-acrin.org/patients/resour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aon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3.png"/><Relationship Id="rId10" Type="http://schemas.openxmlformats.org/officeDocument/2006/relationships/hyperlink" Target="https://advocacy-ecog-acrin.org" TargetMode="External"/><Relationship Id="rId19" Type="http://schemas.openxmlformats.org/officeDocument/2006/relationships/hyperlink" Target="http://www.ecog-acri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-ecog-acrin.org" TargetMode="External"/><Relationship Id="rId14" Type="http://schemas.openxmlformats.org/officeDocument/2006/relationships/hyperlink" Target="https://www.youtube.com/channel/UCAC_V1QdqlH2KdHOt7K2IHw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97E4-8BC6-4306-B074-1DF5EC3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Coalition of Cancer Cooperative Groups</Company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Heller, Katie</dc:creator>
  <cp:keywords/>
  <dc:description/>
  <cp:lastModifiedBy>DiFerdinando, Lauren</cp:lastModifiedBy>
  <cp:revision>2</cp:revision>
  <dcterms:created xsi:type="dcterms:W3CDTF">2022-04-11T15:38:00Z</dcterms:created>
  <dcterms:modified xsi:type="dcterms:W3CDTF">2022-04-11T15:38:00Z</dcterms:modified>
</cp:coreProperties>
</file>